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bookmarkStart w:id="0" w:name="__DdeLink__309_554347210"/>
      <w:r>
        <w:rPr>
          <w:rFonts w:ascii="Verdana" w:hAnsi="Verdana"/>
          <w:b/>
          <w:bCs/>
          <w:sz w:val="18"/>
          <w:szCs w:val="18"/>
        </w:rPr>
        <w:t>OGŁOSZENIE</w:t>
      </w:r>
    </w:p>
    <w:p>
      <w:pPr>
        <w:pStyle w:val="style0"/>
      </w:pPr>
      <w:r>
        <w:rPr>
          <w:rFonts w:ascii="Verdana" w:hAnsi="Verdana"/>
          <w:sz w:val="18"/>
          <w:szCs w:val="18"/>
        </w:rPr>
      </w:r>
    </w:p>
    <w:p>
      <w:pPr>
        <w:pStyle w:val="style0"/>
        <w:jc w:val="both"/>
      </w:pPr>
      <w:r>
        <w:rPr>
          <w:rFonts w:ascii="Verdana" w:hAnsi="Verdana"/>
          <w:sz w:val="18"/>
          <w:szCs w:val="18"/>
        </w:rPr>
      </w:r>
    </w:p>
    <w:p>
      <w:pPr>
        <w:pStyle w:val="style0"/>
        <w:spacing w:line="360" w:lineRule="auto"/>
        <w:jc w:val="both"/>
      </w:pPr>
      <w:r>
        <w:rPr>
          <w:rFonts w:ascii="Verdana" w:hAnsi="Verdana"/>
          <w:i/>
          <w:iCs/>
          <w:sz w:val="18"/>
          <w:szCs w:val="18"/>
        </w:rPr>
        <w:t>"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 xml:space="preserve">W związku z realizacją inwestycji pn. </w:t>
      </w:r>
      <w:r>
        <w:rPr>
          <w:rFonts w:ascii="Verdana" w:hAnsi="Verdana"/>
          <w:b/>
          <w:bCs/>
          <w:i/>
          <w:iCs/>
          <w:sz w:val="18"/>
          <w:szCs w:val="18"/>
          <w:lang w:bidi="pl-PL" w:eastAsia="pl-PL" w:val="pl-PL"/>
        </w:rPr>
        <w:t>"Zagospodarowanie terenu Płockiego Nabrzeża Wiślanego wraz z infrastrukturą techniczną",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 xml:space="preserve"> którego przedmiotem jest budowa promenady wiślanej wraz z falochronami, Gmina Miasto Płock, 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>w celu określenia warunków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 xml:space="preserve"> organizacyjnych funkcjonowania 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>powstałego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 xml:space="preserve"> 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>portu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 xml:space="preserve">, zwraca się do podmiotów zainteresowanych 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 xml:space="preserve">podpięciem swoich pomostów do wybudowanego nabrzeża, o złożenie 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>wniosków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 xml:space="preserve"> w powyższym zakresie do </w:t>
      </w:r>
      <w:r>
        <w:rPr>
          <w:rFonts w:ascii="Verdana" w:hAnsi="Verdana"/>
          <w:b/>
          <w:bCs/>
          <w:i/>
          <w:iCs/>
          <w:sz w:val="18"/>
          <w:szCs w:val="18"/>
          <w:lang w:bidi="pl-PL" w:eastAsia="pl-PL" w:val="pl-PL"/>
        </w:rPr>
        <w:t>Biura Zarządzania Nieruchomościami Urzędu Miasta Płocka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 xml:space="preserve">, 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 xml:space="preserve">na adres e-mail: </w:t>
      </w:r>
      <w:hyperlink r:id="rId2">
        <w:r>
          <w:rPr>
            <w:rStyle w:val="style15"/>
            <w:rFonts w:ascii="Verdana" w:hAnsi="Verdana"/>
            <w:i/>
            <w:iCs/>
            <w:sz w:val="18"/>
            <w:szCs w:val="18"/>
          </w:rPr>
          <w:t>wojciech.petecki@plock.eu</w:t>
        </w:r>
      </w:hyperlink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>,</w:t>
      </w:r>
      <w:r>
        <w:rPr>
          <w:rFonts w:ascii="Verdana" w:hAnsi="Verdana"/>
          <w:b/>
          <w:bCs/>
          <w:i/>
          <w:iCs/>
          <w:sz w:val="18"/>
          <w:szCs w:val="18"/>
          <w:lang w:bidi="pl-PL" w:eastAsia="pl-PL" w:val="pl-PL"/>
        </w:rPr>
        <w:t xml:space="preserve"> tel. 024 367 15 04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 xml:space="preserve"> lub </w:t>
      </w:r>
      <w:r>
        <w:rPr>
          <w:rFonts w:ascii="Verdana" w:hAnsi="Verdana"/>
          <w:b/>
          <w:bCs/>
          <w:i/>
          <w:iCs/>
          <w:sz w:val="18"/>
          <w:szCs w:val="18"/>
          <w:lang w:bidi="pl-PL" w:eastAsia="pl-PL" w:val="pl-PL"/>
        </w:rPr>
        <w:t>024 367 15 02.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 xml:space="preserve"> Podmioty składające ofertę zobowiązane są do ponoszenia kosztów związanych z dzierżawą gruntu pod pomostem</w:t>
      </w:r>
      <w:r>
        <w:rPr>
          <w:rFonts w:ascii="Verdana" w:hAnsi="Verdana"/>
          <w:i/>
          <w:iCs/>
          <w:sz w:val="18"/>
          <w:szCs w:val="18"/>
          <w:shd w:fill="auto" w:val="clear"/>
          <w:lang w:bidi="pl-PL" w:eastAsia="pl-PL" w:val="pl-PL"/>
        </w:rPr>
        <w:t xml:space="preserve"> </w:t>
      </w:r>
      <w:r>
        <w:rPr>
          <w:rFonts w:ascii="Verdana" w:hAnsi="Verdana"/>
          <w:i/>
          <w:iCs/>
          <w:sz w:val="18"/>
          <w:szCs w:val="18"/>
          <w:shd w:fill="auto" w:val="clear"/>
          <w:lang w:bidi="pl-PL" w:eastAsia="pl-PL" w:val="pl-PL"/>
        </w:rPr>
        <w:t>(warunki określa RZGW)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 xml:space="preserve">, 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>uzyskiwania wszelkich decyzji wymaganych dla lokalizacji pomostu zgodnie obowiązującymi przepisami prawa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 xml:space="preserve">, kosztów funkcjonowania pomostu tj. 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 xml:space="preserve">konserwacja, remonty, ochrona, sprzątanie, 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 xml:space="preserve">wywóz nieczystości, opłaty 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 xml:space="preserve">wynikające z przepisów prawa wodnego, itp. Dodatkowo Gmina Miasto Płock 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>określa wymagania co do wygl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>ądu podpinanych pomostów zgodnie z załącznikiem graficznym.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 xml:space="preserve"> 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 xml:space="preserve">W sytuacji, gdy podmiot posiada już pomosty zostanie 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 xml:space="preserve">on 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>zobowiązany do dostosowania ich wyglądu do wymogów gminy w ciągu 3 lat.</w:t>
      </w: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 xml:space="preserve"> </w:t>
      </w:r>
    </w:p>
    <w:p>
      <w:pPr>
        <w:pStyle w:val="style0"/>
        <w:spacing w:line="360" w:lineRule="auto"/>
        <w:jc w:val="both"/>
      </w:pPr>
      <w:r>
        <w:rPr>
          <w:rFonts w:ascii="Verdana" w:hAnsi="Verdana"/>
          <w:i/>
          <w:iCs/>
          <w:sz w:val="18"/>
          <w:szCs w:val="18"/>
          <w:lang w:bidi="pl-PL" w:eastAsia="pl-PL" w:val="pl-PL"/>
        </w:rPr>
        <w:t>Termin przyjmowania wniosków -</w:t>
      </w:r>
      <w:r>
        <w:rPr>
          <w:rFonts w:ascii="Verdana" w:hAnsi="Verdana"/>
          <w:b/>
          <w:bCs/>
          <w:i/>
          <w:iCs/>
          <w:sz w:val="18"/>
          <w:szCs w:val="18"/>
          <w:lang w:bidi="pl-PL" w:eastAsia="pl-PL" w:val="pl-PL"/>
        </w:rPr>
        <w:t xml:space="preserve"> </w:t>
      </w:r>
      <w:r>
        <w:rPr>
          <w:rFonts w:ascii="Verdana" w:hAnsi="Verdana"/>
          <w:b/>
          <w:bCs/>
          <w:i/>
          <w:iCs/>
          <w:sz w:val="18"/>
          <w:szCs w:val="18"/>
          <w:lang w:bidi="pl-PL" w:eastAsia="pl-PL" w:val="pl-PL"/>
        </w:rPr>
        <w:t>20</w:t>
      </w:r>
      <w:r>
        <w:rPr>
          <w:rFonts w:ascii="Verdana" w:hAnsi="Verdana"/>
          <w:b/>
          <w:bCs/>
          <w:i/>
          <w:iCs/>
          <w:sz w:val="18"/>
          <w:szCs w:val="18"/>
          <w:lang w:bidi="pl-PL" w:eastAsia="pl-PL" w:val="pl-PL"/>
        </w:rPr>
        <w:t xml:space="preserve"> lipca 2018 roku.</w:t>
      </w:r>
    </w:p>
    <w:p>
      <w:pPr>
        <w:pStyle w:val="style0"/>
        <w:spacing w:line="360" w:lineRule="auto"/>
        <w:jc w:val="both"/>
      </w:pPr>
      <w:bookmarkStart w:id="1" w:name="__DdeLink__309_554347210"/>
      <w:r>
        <w:rPr>
          <w:rFonts w:ascii="Verdana" w:hAnsi="Verdana"/>
          <w:i/>
          <w:iCs/>
          <w:sz w:val="18"/>
          <w:szCs w:val="18"/>
        </w:rPr>
        <w:t>Szczegółowe warunki i zasady dotyczące funkcjonowania portu określone zostaną po analizie zapotrzebowania</w:t>
      </w:r>
      <w:r>
        <w:rPr>
          <w:rFonts w:ascii="Verdana" w:hAnsi="Verdana"/>
          <w:i/>
          <w:iCs/>
          <w:sz w:val="18"/>
          <w:szCs w:val="18"/>
          <w:shd w:fill="auto" w:val="clear"/>
        </w:rPr>
        <w:t xml:space="preserve">, </w:t>
      </w:r>
      <w:r>
        <w:rPr>
          <w:rFonts w:ascii="Verdana" w:hAnsi="Verdana"/>
          <w:i/>
          <w:iCs/>
          <w:sz w:val="18"/>
          <w:szCs w:val="18"/>
          <w:shd w:fill="auto" w:val="clear"/>
        </w:rPr>
        <w:t>o czym wnioskodawcy zostaną powiadomieni</w:t>
      </w:r>
      <w:bookmarkEnd w:id="1"/>
      <w:r>
        <w:rPr>
          <w:rFonts w:ascii="Verdana" w:hAnsi="Verdana"/>
          <w:i/>
          <w:iCs/>
          <w:sz w:val="18"/>
          <w:szCs w:val="18"/>
        </w:rPr>
        <w:t>".</w:t>
      </w:r>
    </w:p>
    <w:p>
      <w:pPr>
        <w:pStyle w:val="style0"/>
        <w:spacing w:line="360" w:lineRule="auto"/>
        <w:jc w:val="both"/>
      </w:pPr>
      <w:r>
        <w:rPr>
          <w:rFonts w:ascii="Verdana" w:hAnsi="Verdana"/>
          <w:i/>
          <w:iCs/>
          <w:sz w:val="18"/>
          <w:szCs w:val="18"/>
        </w:rPr>
      </w:r>
    </w:p>
    <w:p>
      <w:pPr>
        <w:pStyle w:val="style0"/>
        <w:spacing w:line="360" w:lineRule="auto"/>
        <w:jc w:val="both"/>
      </w:pPr>
      <w:r>
        <w:rPr>
          <w:rFonts w:ascii="Verdana" w:hAnsi="Verdana"/>
          <w:i w:val="false"/>
          <w:iCs w:val="false"/>
          <w:sz w:val="18"/>
          <w:szCs w:val="18"/>
        </w:rPr>
      </w:r>
    </w:p>
    <w:p>
      <w:pPr>
        <w:pStyle w:val="style0"/>
        <w:spacing w:line="360" w:lineRule="auto"/>
        <w:jc w:val="both"/>
      </w:pPr>
      <w:r>
        <w:rPr>
          <w:rFonts w:ascii="Verdana" w:hAnsi="Verdana"/>
          <w:i w:val="false"/>
          <w:iCs w:val="false"/>
          <w:sz w:val="18"/>
          <w:szCs w:val="18"/>
        </w:rPr>
      </w:r>
    </w:p>
    <w:p>
      <w:pPr>
        <w:pStyle w:val="style0"/>
        <w:spacing w:line="360" w:lineRule="auto"/>
        <w:jc w:val="both"/>
      </w:pPr>
      <w:r>
        <w:rPr>
          <w:rFonts w:ascii="Verdana" w:hAnsi="Verdana"/>
          <w:i w:val="false"/>
          <w:iCs w:val="false"/>
          <w:sz w:val="18"/>
          <w:szCs w:val="18"/>
        </w:rPr>
      </w:r>
    </w:p>
    <w:p>
      <w:pPr>
        <w:pStyle w:val="style0"/>
        <w:spacing w:line="360" w:lineRule="auto"/>
        <w:jc w:val="both"/>
      </w:pPr>
      <w:r>
        <w:rPr>
          <w:rFonts w:ascii="Verdana" w:hAnsi="Verdana"/>
          <w:i w:val="false"/>
          <w:iCs w:val="false"/>
          <w:sz w:val="18"/>
          <w:szCs w:val="18"/>
        </w:rPr>
      </w:r>
    </w:p>
    <w:p>
      <w:pPr>
        <w:pStyle w:val="style0"/>
        <w:spacing w:line="360" w:lineRule="auto"/>
        <w:jc w:val="both"/>
      </w:pPr>
      <w:r>
        <w:rPr>
          <w:rFonts w:ascii="Verdana" w:hAnsi="Verdana"/>
          <w:i w:val="false"/>
          <w:iCs w:val="false"/>
          <w:sz w:val="18"/>
          <w:szCs w:val="18"/>
        </w:rPr>
      </w:r>
    </w:p>
    <w:p>
      <w:pPr>
        <w:pStyle w:val="style0"/>
        <w:spacing w:line="360" w:lineRule="auto"/>
        <w:jc w:val="both"/>
      </w:pPr>
      <w:r>
        <w:rPr>
          <w:rFonts w:ascii="Verdana" w:hAnsi="Verdana"/>
          <w:i w:val="false"/>
          <w:iCs w:val="false"/>
          <w:sz w:val="18"/>
          <w:szCs w:val="18"/>
        </w:rPr>
      </w:r>
    </w:p>
    <w:p>
      <w:pPr>
        <w:pStyle w:val="style0"/>
        <w:spacing w:line="360" w:lineRule="auto"/>
        <w:jc w:val="both"/>
      </w:pPr>
      <w:r>
        <w:rPr>
          <w:rFonts w:ascii="Verdana" w:hAnsi="Verdana"/>
          <w:i w:val="false"/>
          <w:iCs w:val="false"/>
          <w:sz w:val="18"/>
          <w:szCs w:val="18"/>
        </w:rPr>
      </w:r>
    </w:p>
    <w:p>
      <w:pPr>
        <w:pStyle w:val="style0"/>
        <w:spacing w:line="360" w:lineRule="auto"/>
        <w:jc w:val="both"/>
      </w:pPr>
      <w:r>
        <w:rPr>
          <w:rFonts w:ascii="Verdana" w:hAnsi="Verdana"/>
          <w:i w:val="false"/>
          <w:iCs w:val="false"/>
          <w:sz w:val="18"/>
          <w:szCs w:val="18"/>
        </w:rPr>
      </w:r>
    </w:p>
    <w:p>
      <w:pPr>
        <w:pStyle w:val="style0"/>
        <w:spacing w:line="360" w:lineRule="auto"/>
        <w:jc w:val="both"/>
      </w:pPr>
      <w:r>
        <w:rPr>
          <w:rFonts w:ascii="Verdana" w:hAnsi="Verdana"/>
          <w:i w:val="false"/>
          <w:iCs w:val="false"/>
          <w:sz w:val="18"/>
          <w:szCs w:val="18"/>
        </w:rPr>
      </w:r>
    </w:p>
    <w:p>
      <w:pPr>
        <w:pStyle w:val="style0"/>
        <w:spacing w:line="360" w:lineRule="auto"/>
        <w:jc w:val="both"/>
      </w:pPr>
      <w:r>
        <w:rPr>
          <w:rFonts w:ascii="Verdana" w:hAnsi="Verdana"/>
          <w:i w:val="false"/>
          <w:iCs w:val="false"/>
          <w:sz w:val="18"/>
          <w:szCs w:val="18"/>
        </w:rPr>
      </w:r>
    </w:p>
    <w:p>
      <w:pPr>
        <w:pStyle w:val="style0"/>
        <w:spacing w:line="360" w:lineRule="auto"/>
        <w:jc w:val="both"/>
      </w:pPr>
      <w:r>
        <w:rPr>
          <w:rFonts w:ascii="Verdana" w:hAnsi="Verdana"/>
          <w:i w:val="false"/>
          <w:iCs w:val="false"/>
          <w:sz w:val="18"/>
          <w:szCs w:val="18"/>
        </w:rPr>
      </w:r>
    </w:p>
    <w:p>
      <w:pPr>
        <w:pStyle w:val="style0"/>
        <w:spacing w:line="360" w:lineRule="auto"/>
        <w:jc w:val="both"/>
      </w:pPr>
      <w:r>
        <w:rPr>
          <w:rFonts w:ascii="Verdana" w:hAnsi="Verdana"/>
          <w:i w:val="false"/>
          <w:iCs w:val="false"/>
          <w:sz w:val="18"/>
          <w:szCs w:val="18"/>
        </w:rPr>
      </w:r>
    </w:p>
    <w:p>
      <w:pPr>
        <w:pStyle w:val="style0"/>
        <w:spacing w:line="360" w:lineRule="auto"/>
        <w:jc w:val="both"/>
      </w:pPr>
      <w:r>
        <w:rPr>
          <w:rFonts w:ascii="Verdana" w:hAnsi="Verdana"/>
          <w:i w:val="false"/>
          <w:iCs w:val="false"/>
          <w:sz w:val="18"/>
          <w:szCs w:val="18"/>
        </w:rPr>
      </w:r>
    </w:p>
    <w:p>
      <w:pPr>
        <w:pStyle w:val="style0"/>
        <w:spacing w:line="360" w:lineRule="auto"/>
        <w:jc w:val="both"/>
      </w:pPr>
      <w:r>
        <w:rPr>
          <w:rFonts w:ascii="Verdana" w:hAnsi="Verdana"/>
          <w:i w:val="false"/>
          <w:iCs w:val="false"/>
          <w:sz w:val="18"/>
          <w:szCs w:val="18"/>
        </w:rPr>
      </w:r>
    </w:p>
    <w:sectPr>
      <w:type w:val="nextPage"/>
      <w:pgSz w:h="16838" w:w="11906"/>
      <w:pgMar w:bottom="1134" w:footer="0" w:gutter="0" w:header="0" w:left="1134" w:right="1134" w:top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 w:val="false"/>
      <w:tabs/>
      <w:suppressAutoHyphens w:val="true"/>
      <w:kinsoku w:val="true"/>
      <w:overflowPunct w:val="true"/>
      <w:autoSpaceDE w:val="true"/>
    </w:pPr>
    <w:rPr>
      <w:rFonts w:ascii="Times New Roman" w:cs="Tahoma" w:eastAsia="Andale Sans UI" w:hAnsi="Times New Roman"/>
      <w:color w:val="auto"/>
      <w:sz w:val="24"/>
      <w:szCs w:val="24"/>
      <w:lang w:bidi="pl-PL" w:eastAsia="pl-PL" w:val="pl-PL"/>
    </w:rPr>
  </w:style>
  <w:style w:styleId="style15" w:type="character">
    <w:name w:val="Łącze internetowe"/>
    <w:next w:val="style15"/>
    <w:rPr>
      <w:color w:val="000080"/>
      <w:u w:val="single"/>
      <w:lang w:bidi="pl-PL" w:eastAsia="pl-PL" w:val="pl-PL"/>
    </w:rPr>
  </w:style>
  <w:style w:styleId="style16" w:type="paragraph">
    <w:name w:val="Nagłówek"/>
    <w:basedOn w:val="style0"/>
    <w:next w:val="style17"/>
    <w:pPr>
      <w:keepNext/>
      <w:spacing w:after="120" w:before="240"/>
      <w:contextualSpacing w:val="false"/>
    </w:pPr>
    <w:rPr>
      <w:rFonts w:ascii="Arial" w:cs="Tahoma" w:eastAsia="Andale Sans UI" w:hAnsi="Arial"/>
      <w:sz w:val="28"/>
      <w:szCs w:val="28"/>
    </w:rPr>
  </w:style>
  <w:style w:styleId="style17" w:type="paragraph">
    <w:name w:val="Treść tekstu"/>
    <w:basedOn w:val="style0"/>
    <w:next w:val="style17"/>
    <w:pPr>
      <w:spacing w:after="120" w:before="0"/>
      <w:contextualSpacing w:val="false"/>
    </w:pPr>
    <w:rPr/>
  </w:style>
  <w:style w:styleId="style18" w:type="paragraph">
    <w:name w:val="Lista"/>
    <w:basedOn w:val="style17"/>
    <w:next w:val="style18"/>
    <w:pPr/>
    <w:rPr>
      <w:rFonts w:cs="Tahoma"/>
    </w:rPr>
  </w:style>
  <w:style w:styleId="style19" w:type="paragraph">
    <w:name w:val="Podpis"/>
    <w:basedOn w:val="style0"/>
    <w:next w:val="style19"/>
    <w:pPr>
      <w:suppressLineNumbers/>
      <w:spacing w:after="120" w:before="120"/>
      <w:contextualSpacing w:val="false"/>
    </w:pPr>
    <w:rPr>
      <w:rFonts w:cs="Tahoma"/>
      <w:i/>
      <w:iCs/>
      <w:sz w:val="24"/>
      <w:szCs w:val="24"/>
    </w:rPr>
  </w:style>
  <w:style w:styleId="style20" w:type="paragraph">
    <w:name w:val="Indeks"/>
    <w:basedOn w:val="style0"/>
    <w:next w:val="style20"/>
    <w:pPr>
      <w:suppressLineNumbers/>
    </w:pPr>
    <w:rPr>
      <w:rFonts w:cs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wojciech.petecki@plock.e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2593</TotalTime>
  <Application>LibreOffice/5.3.3.2$Windows_x86 LibreOffice_project/3d9a8b4b4e538a85e0782bd6c2d430bafe583448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2009-04-16T11:32:02.64Z</dcterms:created>
  <cp:lastPrinted>2018-06-26T13:42:00.45Z</cp:lastPrinted>
  <dcterms:modified xsi:type="dcterms:W3CDTF">2018-07-05T10:04:05.24Z</dcterms:modified>
  <cp:revision>15</cp:revision>
</cp:coreProperties>
</file>